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3624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23" w:type="pct"/>
        <w:tblLook w:val="04A0" w:firstRow="1" w:lastRow="0" w:firstColumn="1" w:lastColumn="0" w:noHBand="0" w:noVBand="1"/>
      </w:tblPr>
      <w:tblGrid>
        <w:gridCol w:w="2160"/>
        <w:gridCol w:w="3731"/>
        <w:gridCol w:w="3729"/>
      </w:tblGrid>
      <w:tr w:rsidR="00343317" w:rsidTr="00714CC6">
        <w:trPr>
          <w:trHeight w:val="278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Liliaceae</w:t>
            </w:r>
            <w:proofErr w:type="spellEnd"/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Iridaceae</w:t>
            </w:r>
            <w:proofErr w:type="spellEnd"/>
          </w:p>
        </w:tc>
      </w:tr>
      <w:tr w:rsidR="00343317" w:rsidTr="00714CC6">
        <w:trPr>
          <w:trHeight w:val="2285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7" w:rsidTr="00714CC6">
        <w:trPr>
          <w:trHeight w:val="917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7" w:rsidTr="00714CC6">
        <w:trPr>
          <w:trHeight w:val="898"/>
        </w:trPr>
        <w:tc>
          <w:tcPr>
            <w:tcW w:w="1123" w:type="pct"/>
          </w:tcPr>
          <w:p w:rsidR="00343317" w:rsidRPr="006420E3" w:rsidRDefault="00343317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7" w:rsidTr="00714CC6">
        <w:trPr>
          <w:trHeight w:val="1921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7" w:rsidTr="00714CC6">
        <w:trPr>
          <w:trHeight w:val="1744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7" w:rsidTr="00714CC6">
        <w:trPr>
          <w:trHeight w:val="898"/>
        </w:trPr>
        <w:tc>
          <w:tcPr>
            <w:tcW w:w="1123" w:type="pct"/>
          </w:tcPr>
          <w:p w:rsidR="00343317" w:rsidRPr="006420E3" w:rsidRDefault="00343317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1939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343317" w:rsidRDefault="00343317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844F3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one key way to separate these two </w:t>
      </w:r>
      <w:r w:rsidR="00113C95">
        <w:rPr>
          <w:rFonts w:ascii="Times New Roman" w:hAnsi="Times New Roman" w:cs="Times New Roman"/>
          <w:sz w:val="24"/>
          <w:szCs w:val="24"/>
        </w:rPr>
        <w:t>families</w:t>
      </w:r>
      <w:r w:rsidR="00D74645">
        <w:rPr>
          <w:rFonts w:ascii="Times New Roman" w:hAnsi="Times New Roman" w:cs="Times New Roman"/>
          <w:sz w:val="24"/>
          <w:szCs w:val="24"/>
        </w:rPr>
        <w:t>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learn about contractile roots?  What do they do?</w:t>
      </w:r>
    </w:p>
    <w:p w:rsidR="006E7F2D" w:rsidRDefault="006E7F2D" w:rsidP="006E7F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645" w:rsidRPr="006E7F2D" w:rsidRDefault="00A74576" w:rsidP="006E7F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some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of the phylogenetic implications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</w:t>
      </w:r>
      <w:proofErr w:type="spellEnd"/>
      <w:r>
        <w:rPr>
          <w:rFonts w:ascii="Times New Roman" w:hAnsi="Times New Roman" w:cs="Times New Roman"/>
          <w:sz w:val="24"/>
          <w:szCs w:val="24"/>
        </w:rPr>
        <w:t>.  What new delineations are being considered?</w:t>
      </w:r>
      <w:r w:rsidR="00597910">
        <w:rPr>
          <w:rFonts w:ascii="Times New Roman" w:hAnsi="Times New Roman" w:cs="Times New Roman"/>
          <w:sz w:val="24"/>
          <w:szCs w:val="24"/>
        </w:rPr>
        <w:t xml:space="preserve">  Did you find similar notes on the </w:t>
      </w:r>
      <w:proofErr w:type="spellStart"/>
      <w:r w:rsidR="00597910">
        <w:rPr>
          <w:rFonts w:ascii="Times New Roman" w:hAnsi="Times New Roman" w:cs="Times New Roman"/>
          <w:sz w:val="24"/>
          <w:szCs w:val="24"/>
        </w:rPr>
        <w:t>Iridaceae</w:t>
      </w:r>
      <w:proofErr w:type="spellEnd"/>
      <w:r w:rsidR="00597910">
        <w:rPr>
          <w:rFonts w:ascii="Times New Roman" w:hAnsi="Times New Roman" w:cs="Times New Roman"/>
          <w:sz w:val="24"/>
          <w:szCs w:val="24"/>
        </w:rPr>
        <w:t>?</w:t>
      </w:r>
    </w:p>
    <w:p w:rsidR="00D74645" w:rsidRDefault="00D74645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645" w:rsidRDefault="00D74645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Pr="00A74576" w:rsidRDefault="00C14D28" w:rsidP="00C14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W</w:t>
      </w:r>
      <w:r w:rsidR="00D74645" w:rsidRPr="00D74645">
        <w:rPr>
          <w:rFonts w:ascii="Times New Roman" w:hAnsi="Times New Roman" w:cs="Times New Roman"/>
          <w:sz w:val="24"/>
          <w:szCs w:val="24"/>
        </w:rPr>
        <w:t xml:space="preserve">hat </w:t>
      </w:r>
      <w:r w:rsidR="00D74645">
        <w:rPr>
          <w:rFonts w:ascii="Times New Roman" w:hAnsi="Times New Roman" w:cs="Times New Roman"/>
          <w:sz w:val="24"/>
          <w:szCs w:val="24"/>
        </w:rPr>
        <w:t>are</w:t>
      </w:r>
      <w:r w:rsidR="00D74645" w:rsidRPr="00D7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76" w:rsidRPr="00A74576">
        <w:rPr>
          <w:rFonts w:ascii="Times New Roman" w:hAnsi="Times New Roman" w:cs="Times New Roman"/>
          <w:sz w:val="24"/>
          <w:szCs w:val="24"/>
        </w:rPr>
        <w:t>tepals</w:t>
      </w:r>
      <w:proofErr w:type="spellEnd"/>
      <w:r w:rsidR="00D74645" w:rsidRPr="00A74576">
        <w:rPr>
          <w:rFonts w:ascii="Times New Roman" w:hAnsi="Times New Roman" w:cs="Times New Roman"/>
          <w:sz w:val="24"/>
          <w:szCs w:val="24"/>
        </w:rPr>
        <w:t>?</w:t>
      </w:r>
      <w:r w:rsidR="00A74576" w:rsidRPr="00A74576">
        <w:rPr>
          <w:rFonts w:ascii="Times New Roman" w:hAnsi="Times New Roman" w:cs="Times New Roman"/>
          <w:sz w:val="24"/>
          <w:szCs w:val="24"/>
        </w:rPr>
        <w:t xml:space="preserve">  What is a corona, in the context of the </w:t>
      </w:r>
      <w:proofErr w:type="spellStart"/>
      <w:r w:rsidR="00A74576" w:rsidRPr="00A74576">
        <w:rPr>
          <w:rFonts w:ascii="Times New Roman" w:hAnsi="Times New Roman" w:cs="Times New Roman"/>
          <w:sz w:val="24"/>
          <w:szCs w:val="24"/>
        </w:rPr>
        <w:t>Liliaceae</w:t>
      </w:r>
      <w:proofErr w:type="spellEnd"/>
      <w:r w:rsidR="00A74576" w:rsidRPr="00A74576">
        <w:rPr>
          <w:rFonts w:ascii="Times New Roman" w:hAnsi="Times New Roman" w:cs="Times New Roman"/>
          <w:sz w:val="24"/>
          <w:szCs w:val="24"/>
        </w:rPr>
        <w:t>?</w:t>
      </w:r>
      <w:r w:rsidR="00244880">
        <w:rPr>
          <w:rFonts w:ascii="Times New Roman" w:hAnsi="Times New Roman" w:cs="Times New Roman"/>
          <w:sz w:val="24"/>
          <w:szCs w:val="24"/>
        </w:rPr>
        <w:t xml:space="preserve">  What does it mean that the stamens in the </w:t>
      </w:r>
      <w:proofErr w:type="spellStart"/>
      <w:r w:rsidR="00244880">
        <w:rPr>
          <w:rFonts w:ascii="Times New Roman" w:hAnsi="Times New Roman" w:cs="Times New Roman"/>
          <w:sz w:val="24"/>
          <w:szCs w:val="24"/>
        </w:rPr>
        <w:t>Liliaceae</w:t>
      </w:r>
      <w:proofErr w:type="spellEnd"/>
      <w:r w:rsidR="00244880">
        <w:rPr>
          <w:rFonts w:ascii="Times New Roman" w:hAnsi="Times New Roman" w:cs="Times New Roman"/>
          <w:sz w:val="24"/>
          <w:szCs w:val="24"/>
        </w:rPr>
        <w:t xml:space="preserve"> are usually versatile?</w:t>
      </w: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2F21" w:rsidRDefault="00A22F21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E7F2D" w:rsidRDefault="006E7F2D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22F21" w:rsidRDefault="00A22F21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Pr="00597910" w:rsidRDefault="00A22F21" w:rsidP="00C14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does it mean to have equitant leaves?  In which of these two families are equitant leaves common?</w:t>
      </w:r>
    </w:p>
    <w:p w:rsidR="00597910" w:rsidRDefault="00597910" w:rsidP="00597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597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910" w:rsidRDefault="00597910" w:rsidP="00597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910" w:rsidRDefault="00597910" w:rsidP="00597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910" w:rsidRPr="00597910" w:rsidRDefault="00597910" w:rsidP="005979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7910" w:rsidRPr="00D74645" w:rsidRDefault="00597910" w:rsidP="00C14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the styles of the genus </w:t>
      </w:r>
      <w:r w:rsidRPr="00597910">
        <w:rPr>
          <w:rFonts w:ascii="Times New Roman" w:hAnsi="Times New Roman" w:cs="Times New Roman"/>
          <w:i/>
          <w:sz w:val="24"/>
          <w:szCs w:val="24"/>
        </w:rPr>
        <w:t>Iris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2D" w:rsidRDefault="006E7F2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C14D2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</w:t>
      </w:r>
      <w:r w:rsidR="0063215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famil</w:t>
      </w:r>
      <w:r w:rsidR="00632158">
        <w:rPr>
          <w:rFonts w:ascii="Times New Roman" w:hAnsi="Times New Roman" w:cs="Times New Roman"/>
          <w:sz w:val="24"/>
          <w:szCs w:val="24"/>
        </w:rPr>
        <w:t>ies</w:t>
      </w:r>
      <w:r w:rsidR="00862898">
        <w:rPr>
          <w:rFonts w:ascii="Times New Roman" w:hAnsi="Times New Roman" w:cs="Times New Roman"/>
          <w:sz w:val="24"/>
          <w:szCs w:val="24"/>
        </w:rPr>
        <w:t>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 w:rsidR="00862898"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C14D28">
        <w:rPr>
          <w:rFonts w:ascii="Times New Roman" w:hAnsi="Times New Roman" w:cs="Times New Roman"/>
          <w:sz w:val="24"/>
          <w:szCs w:val="24"/>
        </w:rPr>
        <w:t>the</w:t>
      </w:r>
      <w:r w:rsidR="00632158">
        <w:rPr>
          <w:rFonts w:ascii="Times New Roman" w:hAnsi="Times New Roman" w:cs="Times New Roman"/>
          <w:sz w:val="24"/>
          <w:szCs w:val="24"/>
        </w:rPr>
        <w:t>se</w:t>
      </w:r>
      <w:r w:rsidR="00C14D28">
        <w:rPr>
          <w:rFonts w:ascii="Times New Roman" w:hAnsi="Times New Roman" w:cs="Times New Roman"/>
          <w:sz w:val="24"/>
          <w:szCs w:val="24"/>
        </w:rPr>
        <w:t xml:space="preserve"> </w:t>
      </w:r>
      <w:r w:rsidR="0032483F">
        <w:rPr>
          <w:rFonts w:ascii="Times New Roman" w:hAnsi="Times New Roman" w:cs="Times New Roman"/>
          <w:sz w:val="24"/>
          <w:szCs w:val="24"/>
        </w:rPr>
        <w:t>famil</w:t>
      </w:r>
      <w:r w:rsidR="00632158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0D64B7"/>
    <w:rsid w:val="000E027F"/>
    <w:rsid w:val="00113C95"/>
    <w:rsid w:val="00123729"/>
    <w:rsid w:val="00135F86"/>
    <w:rsid w:val="001F1E7E"/>
    <w:rsid w:val="00244880"/>
    <w:rsid w:val="002E515C"/>
    <w:rsid w:val="0031156B"/>
    <w:rsid w:val="0032483F"/>
    <w:rsid w:val="00343317"/>
    <w:rsid w:val="0036248D"/>
    <w:rsid w:val="00366005"/>
    <w:rsid w:val="003B5579"/>
    <w:rsid w:val="004C41C9"/>
    <w:rsid w:val="00510F1A"/>
    <w:rsid w:val="00597910"/>
    <w:rsid w:val="005D7E69"/>
    <w:rsid w:val="005F117C"/>
    <w:rsid w:val="00632158"/>
    <w:rsid w:val="006420E3"/>
    <w:rsid w:val="00664640"/>
    <w:rsid w:val="006D034F"/>
    <w:rsid w:val="006E7F2D"/>
    <w:rsid w:val="006F02EE"/>
    <w:rsid w:val="00714CC6"/>
    <w:rsid w:val="00730649"/>
    <w:rsid w:val="007A5C29"/>
    <w:rsid w:val="007F48A7"/>
    <w:rsid w:val="00844F35"/>
    <w:rsid w:val="00862898"/>
    <w:rsid w:val="0088005F"/>
    <w:rsid w:val="008D3D98"/>
    <w:rsid w:val="008E1631"/>
    <w:rsid w:val="009010D6"/>
    <w:rsid w:val="009031C2"/>
    <w:rsid w:val="0094634A"/>
    <w:rsid w:val="009B37CB"/>
    <w:rsid w:val="00A22F21"/>
    <w:rsid w:val="00A2797A"/>
    <w:rsid w:val="00A74576"/>
    <w:rsid w:val="00A83399"/>
    <w:rsid w:val="00AB0A9F"/>
    <w:rsid w:val="00BF337D"/>
    <w:rsid w:val="00C14D28"/>
    <w:rsid w:val="00C6411A"/>
    <w:rsid w:val="00C734E7"/>
    <w:rsid w:val="00CA36A7"/>
    <w:rsid w:val="00D40674"/>
    <w:rsid w:val="00D74645"/>
    <w:rsid w:val="00DB2EB2"/>
    <w:rsid w:val="00DC47AC"/>
    <w:rsid w:val="00E97781"/>
    <w:rsid w:val="00EB6607"/>
    <w:rsid w:val="00F07BA6"/>
    <w:rsid w:val="00F61A58"/>
    <w:rsid w:val="00F6759F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15</cp:revision>
  <dcterms:created xsi:type="dcterms:W3CDTF">2013-04-12T09:44:00Z</dcterms:created>
  <dcterms:modified xsi:type="dcterms:W3CDTF">2014-09-03T21:08:00Z</dcterms:modified>
</cp:coreProperties>
</file>